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42" w:rsidRDefault="00C00642" w:rsidP="00C00642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1696E" wp14:editId="07E68106">
                <wp:simplePos x="0" y="0"/>
                <wp:positionH relativeFrom="column">
                  <wp:posOffset>5285599</wp:posOffset>
                </wp:positionH>
                <wp:positionV relativeFrom="paragraph">
                  <wp:posOffset>-481824</wp:posOffset>
                </wp:positionV>
                <wp:extent cx="4109720" cy="1320800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642" w:rsidRPr="00F52839" w:rsidRDefault="00C00642" w:rsidP="00C006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C00642" w:rsidRPr="00F52839" w:rsidRDefault="00C00642" w:rsidP="00C006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муниципальной программе</w:t>
                            </w:r>
                          </w:p>
                          <w:p w:rsidR="00C00642" w:rsidRDefault="00C00642" w:rsidP="00C00642">
                            <w:pPr>
                              <w:pStyle w:val="ConsTitle"/>
                              <w:ind w:right="0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«Защита населения и территории Партизанского городского округа от чрезвычайных ситуаций» </w:t>
                            </w:r>
                          </w:p>
                          <w:p w:rsidR="00C00642" w:rsidRPr="005F56DC" w:rsidRDefault="00C00642" w:rsidP="00C006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От 06.08.2024 г.  № 1317-па</w:t>
                            </w:r>
                          </w:p>
                          <w:p w:rsidR="00C00642" w:rsidRDefault="00C00642" w:rsidP="00C00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00642" w:rsidRDefault="00C00642" w:rsidP="00C006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6.2pt;margin-top:-37.95pt;width:323.6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" stroked="f">
                <v:textbox>
                  <w:txbxContent>
                    <w:p w:rsidR="00C00642" w:rsidRPr="00F52839" w:rsidRDefault="00C00642" w:rsidP="00C006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C00642" w:rsidRPr="00F52839" w:rsidRDefault="00C00642" w:rsidP="00C006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муниципальной программе</w:t>
                      </w:r>
                    </w:p>
                    <w:p w:rsidR="00C00642" w:rsidRDefault="00C00642" w:rsidP="00C00642">
                      <w:pPr>
                        <w:pStyle w:val="ConsTitle"/>
                        <w:ind w:right="0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«Защита населения и территории Партизанского городского округа от чрезвычайных ситуаций» </w:t>
                      </w:r>
                    </w:p>
                    <w:p w:rsidR="00C00642" w:rsidRPr="005F56DC" w:rsidRDefault="00C00642" w:rsidP="00C006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От 06.08.2024 г.  № 1317-па</w:t>
                      </w:r>
                    </w:p>
                    <w:p w:rsidR="00C00642" w:rsidRDefault="00C00642" w:rsidP="00C00642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00642" w:rsidRDefault="00C00642" w:rsidP="00C006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00642" w:rsidRDefault="00C00642" w:rsidP="00C00642"/>
    <w:p w:rsidR="00C00642" w:rsidRPr="006B25B7" w:rsidRDefault="00C00642" w:rsidP="00C00642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642" w:rsidRPr="006B25B7" w:rsidRDefault="00C00642" w:rsidP="00C00642">
      <w:pPr>
        <w:tabs>
          <w:tab w:val="left" w:pos="421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5B7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00642" w:rsidRDefault="00C00642" w:rsidP="00C00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краткое описание мероприятий реализуемых в составе муниципальной программы</w:t>
      </w:r>
      <w:r w:rsidRPr="006B2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C00642" w:rsidRDefault="00C00642" w:rsidP="00C00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</w:t>
      </w:r>
    </w:p>
    <w:p w:rsidR="00C00642" w:rsidRDefault="00C00642" w:rsidP="00C0064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93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</w:t>
      </w:r>
      <w:proofErr w:type="gramEnd"/>
    </w:p>
    <w:p w:rsidR="00C00642" w:rsidRPr="00A31D62" w:rsidRDefault="00C00642" w:rsidP="00C0064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01.08.2025 г. № 1210-па</w:t>
      </w:r>
      <w:r w:rsidR="00F47698">
        <w:rPr>
          <w:rFonts w:ascii="Times New Roman" w:eastAsia="Calibri" w:hAnsi="Times New Roman" w:cs="Times New Roman"/>
          <w:sz w:val="28"/>
          <w:szCs w:val="28"/>
        </w:rPr>
        <w:t>,</w:t>
      </w:r>
      <w:r w:rsidR="00F47698">
        <w:rPr>
          <w:rFonts w:ascii="Times New Roman" w:hAnsi="Times New Roman"/>
          <w:sz w:val="28"/>
          <w:szCs w:val="28"/>
        </w:rPr>
        <w:t xml:space="preserve"> от 30.09.2025 г. №1541-па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00642" w:rsidRPr="00556A50" w:rsidRDefault="00C00642" w:rsidP="00C00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00642" w:rsidRPr="00B64034" w:rsidRDefault="00C00642" w:rsidP="00C00642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2585"/>
        <w:gridCol w:w="1559"/>
        <w:gridCol w:w="1593"/>
        <w:gridCol w:w="3794"/>
      </w:tblGrid>
      <w:tr w:rsidR="00C00642" w:rsidRPr="00B64034" w:rsidTr="0054679A">
        <w:trPr>
          <w:trHeight w:val="404"/>
          <w:tblHeader/>
        </w:trPr>
        <w:tc>
          <w:tcPr>
            <w:tcW w:w="1276" w:type="dxa"/>
            <w:vMerge w:val="restart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муниципальной программы, подпрограммы</w:t>
            </w:r>
          </w:p>
        </w:tc>
        <w:tc>
          <w:tcPr>
            <w:tcW w:w="2585" w:type="dxa"/>
            <w:vMerge w:val="restart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C00642" w:rsidRPr="00B64034" w:rsidTr="0054679A">
        <w:trPr>
          <w:tblHeader/>
        </w:trPr>
        <w:tc>
          <w:tcPr>
            <w:tcW w:w="1276" w:type="dxa"/>
            <w:vMerge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реализации 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Окончание 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794" w:type="dxa"/>
            <w:vMerge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0642" w:rsidRPr="00B64034" w:rsidTr="0054679A">
        <w:trPr>
          <w:tblHeader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C00642" w:rsidRPr="00B64034" w:rsidTr="0054679A">
        <w:trPr>
          <w:trHeight w:val="2197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Муниципальная Программа «Защита населения и территории Партизанского городского округа от чрезвычайных ситуаций» </w:t>
            </w:r>
          </w:p>
          <w:p w:rsidR="00C00642" w:rsidRDefault="00C00642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1: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мероприятий по гражданской обороне, защите населения и территорий от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чрезвы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-чайных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ситуаций природного и техногенного характера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0642" w:rsidRPr="00B64034" w:rsidTr="0054679A">
        <w:trPr>
          <w:trHeight w:val="1740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оснащение единой дежурно-диспетчерской службы МКУ «ЕДДС, ГЗ ПГО»</w:t>
            </w:r>
          </w:p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бесперебойной работы   информационно-телекоммуникационной инфраструктуры ЕДДС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и пункта управления в кризисных ситуациях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0642" w:rsidRPr="00B64034" w:rsidTr="0054679A">
        <w:trPr>
          <w:trHeight w:val="828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536" w:type="dxa"/>
            <w:shd w:val="clear" w:color="auto" w:fill="auto"/>
          </w:tcPr>
          <w:p w:rsidR="00C00642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системы наблюдения и контроля в рамках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Доведение до населения сигналов гражданской обороны. Ожидаемый охват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с учетом жителей сел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составит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0 %</w:t>
            </w:r>
          </w:p>
        </w:tc>
      </w:tr>
      <w:tr w:rsidR="00C00642" w:rsidRPr="00B64034" w:rsidTr="0054679A">
        <w:trPr>
          <w:trHeight w:val="375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реагирования на ЧС сил и средств городского звена РСЧС ПГО </w:t>
            </w:r>
          </w:p>
        </w:tc>
      </w:tr>
      <w:tr w:rsidR="00C00642" w:rsidRPr="00B64034" w:rsidTr="0054679A">
        <w:trPr>
          <w:trHeight w:val="285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C00642" w:rsidRPr="00B64034" w:rsidTr="0054679A">
        <w:trPr>
          <w:trHeight w:val="244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073471" w:rsidRDefault="00C00642" w:rsidP="0054679A">
            <w:pPr>
              <w:tabs>
                <w:tab w:val="left" w:pos="4211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Качественный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показатель подготовки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руководителей всех уровней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ПГО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>в области гражданской обороны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чрезвычайных ситуациях и пожарной безопасности</w:t>
            </w:r>
          </w:p>
        </w:tc>
      </w:tr>
      <w:tr w:rsidR="00C00642" w:rsidRPr="00B64034" w:rsidTr="0054679A">
        <w:trPr>
          <w:trHeight w:val="2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42" w:rsidRPr="00630C0F" w:rsidRDefault="00C00642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C00642" w:rsidRPr="00B64034" w:rsidTr="0054679A"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Финансовое обеспечение деятельности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ЧС</w:t>
            </w:r>
          </w:p>
        </w:tc>
      </w:tr>
      <w:tr w:rsidR="00C00642" w:rsidRPr="00B64034" w:rsidTr="0054679A"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Финансового обеспечение функционирования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0642" w:rsidRPr="00B64034" w:rsidTr="0054679A"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2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«Обеспечение первичных мер пожарной безопасности на территории Партизанского городского округа» </w:t>
            </w:r>
          </w:p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первичных мер пожарной безопасности на территории Партизанского городского округа</w:t>
            </w:r>
          </w:p>
        </w:tc>
      </w:tr>
      <w:tr w:rsidR="00C00642" w:rsidRPr="00B64034" w:rsidTr="0054679A">
        <w:trPr>
          <w:trHeight w:val="4182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2.1.1.</w:t>
            </w:r>
          </w:p>
        </w:tc>
        <w:tc>
          <w:tcPr>
            <w:tcW w:w="453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Оснащение сельских населенных пунктов городского округа эффективными противопожарными техническими средствами для оповещения населения о пожаре и обеспечение первичных мер пожарной безопасности на территории Партизанского городского округа на 100%</w:t>
            </w:r>
          </w:p>
        </w:tc>
      </w:tr>
      <w:tr w:rsidR="00C00642" w:rsidRPr="00B64034" w:rsidTr="0054679A"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4536" w:type="dxa"/>
            <w:shd w:val="clear" w:color="auto" w:fill="auto"/>
          </w:tcPr>
          <w:p w:rsidR="00C00642" w:rsidRPr="00DF73A6" w:rsidRDefault="00C00642" w:rsidP="0054679A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имеющихся и обустройство новых минерализованных полос на территории ПГО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надлежащего содержания минерализованных полос</w:t>
            </w:r>
          </w:p>
        </w:tc>
      </w:tr>
      <w:tr w:rsidR="00C00642" w:rsidRPr="00B64034" w:rsidTr="0054679A">
        <w:trPr>
          <w:trHeight w:val="1331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2.1.3.</w:t>
            </w:r>
          </w:p>
        </w:tc>
        <w:tc>
          <w:tcPr>
            <w:tcW w:w="4536" w:type="dxa"/>
            <w:shd w:val="clear" w:color="auto" w:fill="auto"/>
          </w:tcPr>
          <w:p w:rsidR="00C00642" w:rsidRPr="00DF73A6" w:rsidRDefault="00C00642" w:rsidP="0054679A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пожарн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технических норм и требований   к  помещениям, находящимся в муниципальной собственности.</w:t>
            </w:r>
          </w:p>
        </w:tc>
      </w:tr>
      <w:tr w:rsidR="00C00642" w:rsidRPr="00B64034" w:rsidTr="0054679A">
        <w:trPr>
          <w:trHeight w:val="2913"/>
        </w:trPr>
        <w:tc>
          <w:tcPr>
            <w:tcW w:w="1276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2.1.4.</w:t>
            </w:r>
          </w:p>
        </w:tc>
        <w:tc>
          <w:tcPr>
            <w:tcW w:w="4536" w:type="dxa"/>
            <w:shd w:val="clear" w:color="auto" w:fill="auto"/>
          </w:tcPr>
          <w:p w:rsidR="00C00642" w:rsidRPr="00DF73A6" w:rsidRDefault="00C00642" w:rsidP="0054679A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2585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642" w:rsidRPr="00B64034" w:rsidRDefault="00C00642" w:rsidP="0054679A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выплаты денежного поощрения работникам  добровольной пожарной охраны и добровольным пожарным</w:t>
            </w:r>
          </w:p>
        </w:tc>
      </w:tr>
    </w:tbl>
    <w:p w:rsidR="00C00642" w:rsidRDefault="00C00642" w:rsidP="00C0064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00642" w:rsidRDefault="00C00642" w:rsidP="00C00642">
      <w:pPr>
        <w:tabs>
          <w:tab w:val="left" w:pos="4211"/>
        </w:tabs>
        <w:jc w:val="center"/>
      </w:pPr>
      <w:r w:rsidRPr="00B64034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C00642" w:rsidRDefault="00C00642" w:rsidP="00C00642"/>
    <w:p w:rsidR="00C00642" w:rsidRDefault="00C00642" w:rsidP="00C00642"/>
    <w:p w:rsidR="00DF5210" w:rsidRDefault="00DF5210"/>
    <w:sectPr w:rsidR="00DF5210" w:rsidSect="0096729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9F" w:rsidRDefault="00EC4B9F">
      <w:pPr>
        <w:spacing w:after="0" w:line="240" w:lineRule="auto"/>
      </w:pPr>
      <w:r>
        <w:separator/>
      </w:r>
    </w:p>
  </w:endnote>
  <w:endnote w:type="continuationSeparator" w:id="0">
    <w:p w:rsidR="00EC4B9F" w:rsidRDefault="00EC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9F" w:rsidRDefault="00EC4B9F">
      <w:pPr>
        <w:spacing w:after="0" w:line="240" w:lineRule="auto"/>
      </w:pPr>
      <w:r>
        <w:separator/>
      </w:r>
    </w:p>
  </w:footnote>
  <w:footnote w:type="continuationSeparator" w:id="0">
    <w:p w:rsidR="00EC4B9F" w:rsidRDefault="00EC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548451"/>
      <w:docPartObj>
        <w:docPartGallery w:val="Page Numbers (Top of Page)"/>
        <w:docPartUnique/>
      </w:docPartObj>
    </w:sdtPr>
    <w:sdtEndPr/>
    <w:sdtContent>
      <w:p w:rsidR="00967297" w:rsidRDefault="00C006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3D">
          <w:rPr>
            <w:noProof/>
          </w:rPr>
          <w:t>2</w:t>
        </w:r>
        <w:r>
          <w:fldChar w:fldCharType="end"/>
        </w:r>
      </w:p>
    </w:sdtContent>
  </w:sdt>
  <w:p w:rsidR="00967297" w:rsidRDefault="00EC4B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42"/>
    <w:rsid w:val="005D6C3B"/>
    <w:rsid w:val="00C00642"/>
    <w:rsid w:val="00DF5210"/>
    <w:rsid w:val="00EC4B9F"/>
    <w:rsid w:val="00EE6B3D"/>
    <w:rsid w:val="00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006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006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2025-08-26T05:10:00Z</dcterms:created>
  <dcterms:modified xsi:type="dcterms:W3CDTF">2025-10-08T04:42:00Z</dcterms:modified>
</cp:coreProperties>
</file>